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8939" w14:textId="77777777" w:rsidR="009B01FA" w:rsidRPr="005C3649" w:rsidRDefault="009B01FA" w:rsidP="009B01FA">
      <w:pPr>
        <w:spacing w:line="360" w:lineRule="auto"/>
        <w:jc w:val="center"/>
        <w:rPr>
          <w:rFonts w:cstheme="minorHAnsi"/>
          <w:b/>
          <w:bCs/>
          <w:color w:val="0070C0"/>
        </w:rPr>
      </w:pPr>
      <w:r w:rsidRPr="005C3649">
        <w:rPr>
          <w:rFonts w:cstheme="minorHAnsi"/>
          <w:b/>
          <w:bCs/>
          <w:color w:val="0070C0"/>
        </w:rPr>
        <w:t>Terms of Reference</w:t>
      </w:r>
    </w:p>
    <w:p w14:paraId="754F28B8" w14:textId="5FA0EF99" w:rsidR="009B01FA" w:rsidRPr="005C3649" w:rsidRDefault="008313DA" w:rsidP="009B01FA">
      <w:pPr>
        <w:spacing w:line="360" w:lineRule="auto"/>
        <w:jc w:val="center"/>
        <w:rPr>
          <w:rFonts w:cstheme="minorHAnsi"/>
          <w:b/>
          <w:bCs/>
        </w:rPr>
      </w:pPr>
      <w:r w:rsidRPr="005F589D">
        <w:rPr>
          <w:b/>
          <w:bCs/>
        </w:rPr>
        <w:t xml:space="preserve">Call for Consultancy: </w:t>
      </w:r>
      <w:r w:rsidR="009B01FA" w:rsidRPr="005C3649">
        <w:rPr>
          <w:rFonts w:cstheme="minorHAnsi"/>
          <w:b/>
          <w:bCs/>
        </w:rPr>
        <w:t xml:space="preserve">Development of </w:t>
      </w:r>
      <w:r w:rsidR="00D83AAB">
        <w:rPr>
          <w:rFonts w:cstheme="minorHAnsi"/>
          <w:b/>
          <w:bCs/>
        </w:rPr>
        <w:t xml:space="preserve">The </w:t>
      </w:r>
      <w:r w:rsidR="009B01FA" w:rsidRPr="005C3649">
        <w:rPr>
          <w:rFonts w:cstheme="minorHAnsi"/>
          <w:b/>
          <w:bCs/>
        </w:rPr>
        <w:t>Horn Civic Space and Pro-Democracy Actors Observatory</w:t>
      </w:r>
    </w:p>
    <w:p w14:paraId="01D0586B" w14:textId="77D5F3A3" w:rsidR="00DD3A76" w:rsidRPr="00DD3A76" w:rsidRDefault="00DD3A76" w:rsidP="009B01FA">
      <w:pPr>
        <w:rPr>
          <w:b/>
          <w:bCs/>
        </w:rPr>
      </w:pPr>
      <w:r w:rsidRPr="00DD3A76">
        <w:rPr>
          <w:b/>
          <w:bCs/>
        </w:rPr>
        <w:t>Background</w:t>
      </w:r>
    </w:p>
    <w:p w14:paraId="30DCAB5C" w14:textId="5F770CF7" w:rsidR="00DD3A76" w:rsidRPr="00DD3A76" w:rsidRDefault="00DD3A76" w:rsidP="009B01FA">
      <w:pPr>
        <w:jc w:val="both"/>
      </w:pPr>
      <w:r w:rsidRPr="00DD3A76">
        <w:t>The Horn Center for Democracy (HCD) is a regional organization working to promote democratic governance, civic engagement, peacebuilding, and inclusive political participation across the Horn of Africa</w:t>
      </w:r>
      <w:r>
        <w:t xml:space="preserve"> (HoA)</w:t>
      </w:r>
      <w:r w:rsidRPr="00DD3A76">
        <w:t xml:space="preserve">. As part of its regional democracy and governance initiatives, HCD seeks to establish the Horn </w:t>
      </w:r>
      <w:r>
        <w:t xml:space="preserve">Specific </w:t>
      </w:r>
      <w:r w:rsidRPr="00DD3A76">
        <w:t>Civic Space and Pro-Democracy Actors Observatory, a regional platform dedicated to monitoring, documenting, analyzing, and disseminating information on civic space dynamics and pro-democracy actors in the region.</w:t>
      </w:r>
    </w:p>
    <w:p w14:paraId="0B204571" w14:textId="7CD35D5A" w:rsidR="009B01FA" w:rsidRDefault="009B01FA" w:rsidP="009B01FA">
      <w:pPr>
        <w:jc w:val="both"/>
      </w:pPr>
      <w:r w:rsidRPr="009B01FA">
        <w:t xml:space="preserve">This initiative is informed by and builds upon HCD’s earlier exploratory mapping study on civic society and pro-democracy actors in the region, which highlighted the need for continuous civic space monitoring, action-oriented research, stronger evidence generation, and deeper understanding of the evolving roles, capacities, resilience, and adaptive strategies of both formal and informal civic actors operating in restrictive political environments. </w:t>
      </w:r>
      <w:r w:rsidR="000B0548">
        <w:t>You can read further into t</w:t>
      </w:r>
      <w:r w:rsidR="00DD3A76" w:rsidRPr="00DD3A76">
        <w:t xml:space="preserve">he study here: </w:t>
      </w:r>
      <w:hyperlink r:id="rId7" w:history="1">
        <w:r w:rsidRPr="009B01FA">
          <w:rPr>
            <w:rStyle w:val="Hyperlink"/>
          </w:rPr>
          <w:t>Exploratory-Mapping-FINAL.pdf</w:t>
        </w:r>
      </w:hyperlink>
      <w:r>
        <w:t>.</w:t>
      </w:r>
    </w:p>
    <w:p w14:paraId="6F849F52" w14:textId="2747E899" w:rsidR="00693580" w:rsidRPr="00672B0D" w:rsidRDefault="00693580" w:rsidP="00672B0D">
      <w:pPr>
        <w:pStyle w:val="ListParagraph"/>
        <w:numPr>
          <w:ilvl w:val="0"/>
          <w:numId w:val="8"/>
        </w:numPr>
        <w:spacing w:line="276" w:lineRule="auto"/>
        <w:jc w:val="both"/>
        <w:rPr>
          <w:b/>
          <w:bCs/>
        </w:rPr>
      </w:pPr>
      <w:r w:rsidRPr="00672B0D">
        <w:rPr>
          <w:b/>
          <w:bCs/>
        </w:rPr>
        <w:t>Scope of the Assignment</w:t>
      </w:r>
    </w:p>
    <w:p w14:paraId="4DE101AD" w14:textId="77777777" w:rsidR="00693580" w:rsidRPr="00BD093A" w:rsidRDefault="00693580" w:rsidP="00693580">
      <w:pPr>
        <w:spacing w:line="276" w:lineRule="auto"/>
        <w:jc w:val="both"/>
      </w:pPr>
      <w:r w:rsidRPr="00BD093A">
        <w:t>The consultant will support HCD in the establishment of the Horn Civic Space and Pro-Democracy Actors Observatory as a regional platform for monitoring, documenting, analyzing, and disseminating information on civic space conditions and pro-democracy actors across the Horn of Africa.</w:t>
      </w:r>
    </w:p>
    <w:p w14:paraId="3E18D0D0" w14:textId="77777777" w:rsidR="00693580" w:rsidRPr="00BD093A" w:rsidRDefault="00693580" w:rsidP="00693580">
      <w:pPr>
        <w:spacing w:line="276" w:lineRule="auto"/>
        <w:jc w:val="both"/>
      </w:pPr>
      <w:r w:rsidRPr="00BD093A">
        <w:t>The assignment shall include, but not be limited to, the following areas of work:</w:t>
      </w:r>
    </w:p>
    <w:p w14:paraId="590F9DF1" w14:textId="77777777" w:rsidR="00693580" w:rsidRPr="007F443C" w:rsidRDefault="00693580" w:rsidP="00693580">
      <w:pPr>
        <w:pStyle w:val="ListParagraph"/>
        <w:numPr>
          <w:ilvl w:val="0"/>
          <w:numId w:val="5"/>
        </w:numPr>
        <w:spacing w:line="276" w:lineRule="auto"/>
        <w:jc w:val="both"/>
      </w:pPr>
      <w:r w:rsidRPr="007F443C">
        <w:t>Development of a Regional Civic Space Monitoring Framework</w:t>
      </w:r>
    </w:p>
    <w:p w14:paraId="4AFD7E2A" w14:textId="77777777" w:rsidR="00693580" w:rsidRPr="007F443C" w:rsidRDefault="00693580" w:rsidP="00693580">
      <w:pPr>
        <w:pStyle w:val="ListParagraph"/>
        <w:numPr>
          <w:ilvl w:val="0"/>
          <w:numId w:val="5"/>
        </w:numPr>
        <w:spacing w:line="276" w:lineRule="auto"/>
        <w:jc w:val="both"/>
      </w:pPr>
      <w:r w:rsidRPr="007F443C">
        <w:t>Development and Deployment of the Horn Civic Space and Pro-Democracy Actors Observatory</w:t>
      </w:r>
    </w:p>
    <w:p w14:paraId="28B643C3" w14:textId="77777777" w:rsidR="00693580" w:rsidRPr="007F443C" w:rsidRDefault="00693580" w:rsidP="00693580">
      <w:pPr>
        <w:pStyle w:val="ListParagraph"/>
        <w:numPr>
          <w:ilvl w:val="0"/>
          <w:numId w:val="5"/>
        </w:numPr>
        <w:spacing w:line="276" w:lineRule="auto"/>
        <w:jc w:val="both"/>
      </w:pPr>
      <w:r w:rsidRPr="007F443C">
        <w:t>Regional Civic Space Analysis and Knowledge Generation</w:t>
      </w:r>
    </w:p>
    <w:p w14:paraId="6B1582B3" w14:textId="77777777" w:rsidR="00693580" w:rsidRPr="007F443C" w:rsidRDefault="00693580" w:rsidP="007F443C">
      <w:pPr>
        <w:pStyle w:val="ListParagraph"/>
        <w:numPr>
          <w:ilvl w:val="0"/>
          <w:numId w:val="5"/>
        </w:numPr>
        <w:spacing w:before="240" w:line="360" w:lineRule="auto"/>
        <w:jc w:val="both"/>
      </w:pPr>
      <w:r w:rsidRPr="007F443C">
        <w:t>Facilitation of Regional Learning and Collaboration</w:t>
      </w:r>
    </w:p>
    <w:p w14:paraId="7F07F1CA" w14:textId="41B123B7" w:rsidR="00672B0D" w:rsidRPr="007F443C" w:rsidRDefault="00672B0D" w:rsidP="007F443C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b/>
          <w:bCs/>
        </w:rPr>
      </w:pPr>
      <w:r w:rsidRPr="007F443C">
        <w:rPr>
          <w:b/>
          <w:bCs/>
        </w:rPr>
        <w:t>Objective</w:t>
      </w:r>
    </w:p>
    <w:p w14:paraId="514DBEB3" w14:textId="75ECB183" w:rsidR="00672B0D" w:rsidRPr="00CF67D7" w:rsidRDefault="00672B0D" w:rsidP="00672B0D">
      <w:pPr>
        <w:spacing w:line="276" w:lineRule="auto"/>
        <w:jc w:val="both"/>
      </w:pPr>
      <w:r w:rsidRPr="00CF67D7">
        <w:t xml:space="preserve">To establish a regional observatory and </w:t>
      </w:r>
      <w:r>
        <w:t xml:space="preserve">a </w:t>
      </w:r>
      <w:r w:rsidRPr="00CF67D7">
        <w:t>framework for assessing, monitoring, documenting, and analyzing the condition of civic space and pro-democracy actors in the Ho</w:t>
      </w:r>
      <w:r>
        <w:t>A</w:t>
      </w:r>
      <w:r w:rsidRPr="00CF67D7">
        <w:t xml:space="preserve"> in order to strengthen evidence-based advocacy, promote innovation and cross-learning, and support democratic governance in the region.</w:t>
      </w:r>
    </w:p>
    <w:p w14:paraId="6D315703" w14:textId="77777777" w:rsidR="00672B0D" w:rsidRPr="00672B0D" w:rsidRDefault="00672B0D" w:rsidP="00672B0D">
      <w:pPr>
        <w:pStyle w:val="ListParagraph"/>
        <w:numPr>
          <w:ilvl w:val="0"/>
          <w:numId w:val="8"/>
        </w:numPr>
        <w:spacing w:line="276" w:lineRule="auto"/>
        <w:jc w:val="both"/>
        <w:rPr>
          <w:b/>
          <w:bCs/>
        </w:rPr>
      </w:pPr>
      <w:r w:rsidRPr="00672B0D">
        <w:rPr>
          <w:b/>
          <w:bCs/>
        </w:rPr>
        <w:lastRenderedPageBreak/>
        <w:t>Methodological Approach</w:t>
      </w:r>
    </w:p>
    <w:p w14:paraId="28CFA9C8" w14:textId="77777777" w:rsidR="007F443C" w:rsidRDefault="00672B0D" w:rsidP="007F443C">
      <w:pPr>
        <w:spacing w:line="276" w:lineRule="auto"/>
        <w:jc w:val="both"/>
      </w:pPr>
      <w:r w:rsidRPr="00BD093A">
        <w:t xml:space="preserve">The detailed methodology for this assignment shall be proposed by the consultant in the technical proposal. </w:t>
      </w:r>
    </w:p>
    <w:p w14:paraId="627AE978" w14:textId="74602DF3" w:rsidR="00672B0D" w:rsidRPr="00672B0D" w:rsidRDefault="00672B0D" w:rsidP="007F443C">
      <w:pPr>
        <w:spacing w:line="276" w:lineRule="auto"/>
        <w:jc w:val="both"/>
        <w:rPr>
          <w:b/>
          <w:bCs/>
        </w:rPr>
      </w:pPr>
      <w:r w:rsidRPr="00672B0D">
        <w:rPr>
          <w:b/>
          <w:bCs/>
        </w:rPr>
        <w:t>Required Qualifications and Experience</w:t>
      </w:r>
    </w:p>
    <w:p w14:paraId="7462D8BB" w14:textId="01D7D55E" w:rsidR="00672B0D" w:rsidRPr="00850B4D" w:rsidRDefault="00672B0D" w:rsidP="00672B0D">
      <w:pPr>
        <w:spacing w:line="276" w:lineRule="auto"/>
        <w:jc w:val="both"/>
      </w:pPr>
      <w:r w:rsidRPr="00850B4D">
        <w:t xml:space="preserve">HCD seeks to engage a qualified consultant or consulting firm with demonstrated expertise in civic space analysis, democratic governance, political research, and knowledge platform development within </w:t>
      </w:r>
      <w:r w:rsidR="00035955">
        <w:t xml:space="preserve">Africa, the Horn of Africa, </w:t>
      </w:r>
      <w:r w:rsidRPr="00850B4D">
        <w:t>or comparable contexts.</w:t>
      </w:r>
      <w:r>
        <w:t xml:space="preserve"> </w:t>
      </w:r>
      <w:r w:rsidRPr="00850B4D">
        <w:t>The consultant/firm should possess the following qualifications and competencies:</w:t>
      </w:r>
    </w:p>
    <w:p w14:paraId="0F2166C3" w14:textId="16A36790" w:rsidR="00672B0D" w:rsidRPr="00672B0D" w:rsidRDefault="00672B0D" w:rsidP="00672B0D">
      <w:pPr>
        <w:pStyle w:val="ListParagraph"/>
        <w:numPr>
          <w:ilvl w:val="0"/>
          <w:numId w:val="14"/>
        </w:numPr>
        <w:spacing w:line="276" w:lineRule="auto"/>
        <w:jc w:val="both"/>
        <w:rPr>
          <w:b/>
          <w:bCs/>
        </w:rPr>
      </w:pPr>
      <w:r w:rsidRPr="00672B0D">
        <w:rPr>
          <w:b/>
          <w:bCs/>
        </w:rPr>
        <w:t>Academic Qualifications</w:t>
      </w:r>
    </w:p>
    <w:p w14:paraId="0F6FFED1" w14:textId="77777777" w:rsidR="00672B0D" w:rsidRPr="00850B4D" w:rsidRDefault="00672B0D" w:rsidP="00672B0D">
      <w:pPr>
        <w:numPr>
          <w:ilvl w:val="0"/>
          <w:numId w:val="10"/>
        </w:numPr>
        <w:spacing w:line="276" w:lineRule="auto"/>
        <w:jc w:val="both"/>
      </w:pPr>
      <w:r w:rsidRPr="00850B4D">
        <w:t>Advanced university degree (Master’s level or above) in Political Science, Governance, International Relations, Law, Peace and Conflict Studies, Development Studies, Sociology, Human Rights, or related fields.</w:t>
      </w:r>
    </w:p>
    <w:p w14:paraId="568F3F56" w14:textId="66EC6243" w:rsidR="00672B0D" w:rsidRPr="00672B0D" w:rsidRDefault="00672B0D" w:rsidP="00672B0D">
      <w:pPr>
        <w:pStyle w:val="ListParagraph"/>
        <w:numPr>
          <w:ilvl w:val="0"/>
          <w:numId w:val="14"/>
        </w:numPr>
        <w:spacing w:line="276" w:lineRule="auto"/>
        <w:jc w:val="both"/>
        <w:rPr>
          <w:b/>
          <w:bCs/>
        </w:rPr>
      </w:pPr>
      <w:r w:rsidRPr="00672B0D">
        <w:rPr>
          <w:b/>
          <w:bCs/>
        </w:rPr>
        <w:t>Technical and Professional Experience</w:t>
      </w:r>
    </w:p>
    <w:p w14:paraId="507DB4E9" w14:textId="528384B6" w:rsidR="00672B0D" w:rsidRPr="00850B4D" w:rsidRDefault="003F5D78" w:rsidP="00672B0D">
      <w:pPr>
        <w:numPr>
          <w:ilvl w:val="0"/>
          <w:numId w:val="11"/>
        </w:numPr>
        <w:spacing w:after="0" w:line="276" w:lineRule="auto"/>
        <w:jc w:val="both"/>
      </w:pPr>
      <w:r w:rsidRPr="003F5D78">
        <w:t>Minimum of eight (</w:t>
      </w:r>
      <w:r w:rsidR="00035955">
        <w:t>10</w:t>
      </w:r>
      <w:r w:rsidRPr="003F5D78">
        <w:t>) years of proven experience</w:t>
      </w:r>
      <w:r>
        <w:t xml:space="preserve"> </w:t>
      </w:r>
      <w:r w:rsidR="00672B0D" w:rsidRPr="00850B4D">
        <w:t>in conducting research, assessments, or monitoring initiatives related to civic space, democracy, governance, civil society, human rights, or political participation.</w:t>
      </w:r>
    </w:p>
    <w:p w14:paraId="0192335A" w14:textId="77777777" w:rsidR="00672B0D" w:rsidRPr="00850B4D" w:rsidRDefault="00672B0D" w:rsidP="00672B0D">
      <w:pPr>
        <w:numPr>
          <w:ilvl w:val="0"/>
          <w:numId w:val="11"/>
        </w:numPr>
        <w:spacing w:after="0" w:line="276" w:lineRule="auto"/>
        <w:jc w:val="both"/>
      </w:pPr>
      <w:r w:rsidRPr="00850B4D">
        <w:t>Demonstrated understanding of the political, governance, and civic space dynamics of the Ho</w:t>
      </w:r>
      <w:r>
        <w:t>A region</w:t>
      </w:r>
      <w:r w:rsidRPr="00850B4D">
        <w:t>.</w:t>
      </w:r>
    </w:p>
    <w:p w14:paraId="60C8BBF7" w14:textId="77777777" w:rsidR="00672B0D" w:rsidRPr="00850B4D" w:rsidRDefault="00672B0D" w:rsidP="00672B0D">
      <w:pPr>
        <w:numPr>
          <w:ilvl w:val="0"/>
          <w:numId w:val="11"/>
        </w:numPr>
        <w:spacing w:after="0" w:line="276" w:lineRule="auto"/>
        <w:jc w:val="both"/>
      </w:pPr>
      <w:r w:rsidRPr="00850B4D">
        <w:t>Experience in designing analytical frameworks, monitoring tools, databases, repositories, or knowledge management systems.</w:t>
      </w:r>
    </w:p>
    <w:p w14:paraId="0FDFDC62" w14:textId="77777777" w:rsidR="00672B0D" w:rsidRPr="00850B4D" w:rsidRDefault="00672B0D" w:rsidP="00672B0D">
      <w:pPr>
        <w:numPr>
          <w:ilvl w:val="0"/>
          <w:numId w:val="11"/>
        </w:numPr>
        <w:spacing w:after="0" w:line="276" w:lineRule="auto"/>
        <w:jc w:val="both"/>
      </w:pPr>
      <w:r w:rsidRPr="00850B4D">
        <w:t>Demonstrated experience in working with civil society organizations, grassroots movements, informal civic formations, youth movements, or pro-democracy actors, particularly in politically sensitive or restrictive environments.</w:t>
      </w:r>
    </w:p>
    <w:p w14:paraId="1A165EE4" w14:textId="77777777" w:rsidR="00672B0D" w:rsidRPr="00850B4D" w:rsidRDefault="00672B0D" w:rsidP="00672B0D">
      <w:pPr>
        <w:numPr>
          <w:ilvl w:val="0"/>
          <w:numId w:val="11"/>
        </w:numPr>
        <w:spacing w:after="0" w:line="276" w:lineRule="auto"/>
        <w:jc w:val="both"/>
      </w:pPr>
      <w:r w:rsidRPr="00850B4D">
        <w:t>Strong expertise in qualitative and/or mixed-methods research, stakeholder mapping, political economy analysis, and regional trend analysis.</w:t>
      </w:r>
    </w:p>
    <w:p w14:paraId="674308A6" w14:textId="77777777" w:rsidR="00672B0D" w:rsidRPr="00850B4D" w:rsidRDefault="00672B0D" w:rsidP="00672B0D">
      <w:pPr>
        <w:numPr>
          <w:ilvl w:val="0"/>
          <w:numId w:val="11"/>
        </w:numPr>
        <w:spacing w:after="0" w:line="276" w:lineRule="auto"/>
        <w:jc w:val="both"/>
      </w:pPr>
      <w:r w:rsidRPr="00850B4D">
        <w:t>Demonstrated ability to produce high-quality analytical reports, policy-oriented research outputs, and evidence-based recommendations.</w:t>
      </w:r>
    </w:p>
    <w:p w14:paraId="11AFAE83" w14:textId="77777777" w:rsidR="00672B0D" w:rsidRPr="00850B4D" w:rsidRDefault="00672B0D" w:rsidP="00672B0D">
      <w:pPr>
        <w:numPr>
          <w:ilvl w:val="0"/>
          <w:numId w:val="11"/>
        </w:numPr>
        <w:spacing w:after="0" w:line="276" w:lineRule="auto"/>
        <w:jc w:val="both"/>
      </w:pPr>
      <w:r w:rsidRPr="00850B4D">
        <w:t>Experience in</w:t>
      </w:r>
      <w:r>
        <w:t xml:space="preserve"> informing</w:t>
      </w:r>
      <w:r w:rsidRPr="00850B4D">
        <w:t xml:space="preserve"> digital platform development, online observatories, or database deployment is highly desirable.</w:t>
      </w:r>
    </w:p>
    <w:p w14:paraId="1BC681C7" w14:textId="658DEDE1" w:rsidR="00672B0D" w:rsidRPr="00672B0D" w:rsidRDefault="00672B0D" w:rsidP="00672B0D">
      <w:pPr>
        <w:pStyle w:val="ListParagraph"/>
        <w:numPr>
          <w:ilvl w:val="0"/>
          <w:numId w:val="8"/>
        </w:numPr>
        <w:spacing w:line="276" w:lineRule="auto"/>
        <w:jc w:val="both"/>
        <w:rPr>
          <w:b/>
          <w:bCs/>
        </w:rPr>
      </w:pPr>
      <w:r w:rsidRPr="00672B0D">
        <w:rPr>
          <w:b/>
          <w:bCs/>
        </w:rPr>
        <w:t>Application Process</w:t>
      </w:r>
    </w:p>
    <w:p w14:paraId="296D6CE3" w14:textId="77777777" w:rsidR="00672B0D" w:rsidRPr="00850B4D" w:rsidRDefault="00672B0D" w:rsidP="00672B0D">
      <w:pPr>
        <w:spacing w:line="276" w:lineRule="auto"/>
        <w:jc w:val="both"/>
      </w:pPr>
      <w:r w:rsidRPr="00850B4D">
        <w:t>Interested consultants or firms are invited to submit the following application materials:</w:t>
      </w:r>
    </w:p>
    <w:p w14:paraId="65F6FFC7" w14:textId="08AC49E6" w:rsidR="00672B0D" w:rsidRPr="00850B4D" w:rsidRDefault="00672B0D" w:rsidP="00360511">
      <w:pPr>
        <w:pStyle w:val="ListParagraph"/>
        <w:numPr>
          <w:ilvl w:val="0"/>
          <w:numId w:val="13"/>
        </w:numPr>
        <w:spacing w:line="276" w:lineRule="auto"/>
        <w:jc w:val="both"/>
      </w:pPr>
      <w:r w:rsidRPr="00850B4D">
        <w:t>A technical proposal outlining:</w:t>
      </w:r>
    </w:p>
    <w:p w14:paraId="4FBF61CA" w14:textId="77777777" w:rsidR="00672B0D" w:rsidRPr="00850B4D" w:rsidRDefault="00672B0D" w:rsidP="00672B0D">
      <w:pPr>
        <w:numPr>
          <w:ilvl w:val="1"/>
          <w:numId w:val="13"/>
        </w:numPr>
        <w:spacing w:after="0" w:line="276" w:lineRule="auto"/>
        <w:jc w:val="both"/>
      </w:pPr>
      <w:r w:rsidRPr="00850B4D">
        <w:t>understanding of the assignment;</w:t>
      </w:r>
    </w:p>
    <w:p w14:paraId="7C175CD1" w14:textId="77777777" w:rsidR="00672B0D" w:rsidRPr="00850B4D" w:rsidRDefault="00672B0D" w:rsidP="00672B0D">
      <w:pPr>
        <w:numPr>
          <w:ilvl w:val="1"/>
          <w:numId w:val="13"/>
        </w:numPr>
        <w:spacing w:after="0" w:line="276" w:lineRule="auto"/>
        <w:jc w:val="both"/>
      </w:pPr>
      <w:r w:rsidRPr="00850B4D">
        <w:lastRenderedPageBreak/>
        <w:t>proposed methodological and analytical approach;</w:t>
      </w:r>
    </w:p>
    <w:p w14:paraId="2750C759" w14:textId="77777777" w:rsidR="00672B0D" w:rsidRPr="00850B4D" w:rsidRDefault="00672B0D" w:rsidP="00672B0D">
      <w:pPr>
        <w:numPr>
          <w:ilvl w:val="1"/>
          <w:numId w:val="13"/>
        </w:numPr>
        <w:spacing w:after="0" w:line="276" w:lineRule="auto"/>
        <w:jc w:val="both"/>
      </w:pPr>
      <w:r w:rsidRPr="00850B4D">
        <w:t>proposed work plan and timeline;</w:t>
      </w:r>
    </w:p>
    <w:p w14:paraId="60FC59E7" w14:textId="77777777" w:rsidR="00672B0D" w:rsidRPr="00850B4D" w:rsidRDefault="00672B0D" w:rsidP="00672B0D">
      <w:pPr>
        <w:numPr>
          <w:ilvl w:val="1"/>
          <w:numId w:val="13"/>
        </w:numPr>
        <w:spacing w:after="0" w:line="276" w:lineRule="auto"/>
        <w:jc w:val="both"/>
      </w:pPr>
      <w:r w:rsidRPr="00850B4D">
        <w:t>approach to observatory/repository development and operationalization;</w:t>
      </w:r>
    </w:p>
    <w:p w14:paraId="4C11D214" w14:textId="77777777" w:rsidR="00672B0D" w:rsidRPr="00850B4D" w:rsidRDefault="00672B0D" w:rsidP="00672B0D">
      <w:pPr>
        <w:numPr>
          <w:ilvl w:val="1"/>
          <w:numId w:val="13"/>
        </w:numPr>
        <w:spacing w:after="0" w:line="276" w:lineRule="auto"/>
        <w:jc w:val="both"/>
      </w:pPr>
      <w:r w:rsidRPr="00850B4D">
        <w:t>proposed country coverage and stakeholder engagement approach;</w:t>
      </w:r>
    </w:p>
    <w:p w14:paraId="62B516F7" w14:textId="77777777" w:rsidR="00672B0D" w:rsidRPr="00850B4D" w:rsidRDefault="00672B0D" w:rsidP="00672B0D">
      <w:pPr>
        <w:numPr>
          <w:ilvl w:val="1"/>
          <w:numId w:val="13"/>
        </w:numPr>
        <w:spacing w:after="0" w:line="276" w:lineRule="auto"/>
        <w:jc w:val="both"/>
      </w:pPr>
      <w:r w:rsidRPr="00850B4D">
        <w:t>team composition and division of responsibilities, where applicable.</w:t>
      </w:r>
    </w:p>
    <w:p w14:paraId="263C71DE" w14:textId="5CEA4F96" w:rsidR="00360511" w:rsidRPr="00360511" w:rsidRDefault="00360511" w:rsidP="00360511">
      <w:pPr>
        <w:pStyle w:val="ListParagraph"/>
        <w:numPr>
          <w:ilvl w:val="0"/>
          <w:numId w:val="13"/>
        </w:numPr>
        <w:spacing w:line="276" w:lineRule="auto"/>
        <w:jc w:val="both"/>
      </w:pPr>
      <w:r w:rsidRPr="00360511">
        <w:t>Financial Proposal Requirements</w:t>
      </w:r>
    </w:p>
    <w:p w14:paraId="77E90D23" w14:textId="77777777" w:rsidR="00360511" w:rsidRPr="00360511" w:rsidRDefault="00360511" w:rsidP="00360511">
      <w:pPr>
        <w:spacing w:line="276" w:lineRule="auto"/>
        <w:ind w:left="720"/>
        <w:jc w:val="both"/>
      </w:pPr>
      <w:r w:rsidRPr="00360511">
        <w:t>The financial proposal must include the following: Mandatory Attachments and Budget Requirements, as detailed below.</w:t>
      </w:r>
    </w:p>
    <w:p w14:paraId="42AA0076" w14:textId="77777777" w:rsidR="00360511" w:rsidRPr="00360511" w:rsidRDefault="00360511" w:rsidP="00360511">
      <w:pPr>
        <w:spacing w:line="276" w:lineRule="auto"/>
        <w:ind w:left="720"/>
        <w:jc w:val="both"/>
      </w:pPr>
      <w:r w:rsidRPr="00360511">
        <w:rPr>
          <w:b/>
          <w:bCs/>
        </w:rPr>
        <w:t>Mandatory Attachments</w:t>
      </w:r>
    </w:p>
    <w:p w14:paraId="6F780127" w14:textId="77777777" w:rsidR="001B005C" w:rsidRDefault="00360511" w:rsidP="001B005C">
      <w:pPr>
        <w:spacing w:line="276" w:lineRule="auto"/>
        <w:ind w:left="720"/>
        <w:jc w:val="both"/>
      </w:pPr>
      <w:r w:rsidRPr="00360511">
        <w:t>As a primary requirement for the financial proposal to be accepted, applicants must attach the following:</w:t>
      </w:r>
    </w:p>
    <w:p w14:paraId="009EA781" w14:textId="77777777" w:rsidR="001B005C" w:rsidRDefault="00360511" w:rsidP="001B005C">
      <w:pPr>
        <w:pStyle w:val="ListParagraph"/>
        <w:numPr>
          <w:ilvl w:val="1"/>
          <w:numId w:val="19"/>
        </w:numPr>
        <w:spacing w:line="276" w:lineRule="auto"/>
        <w:jc w:val="both"/>
      </w:pPr>
      <w:r w:rsidRPr="00360511">
        <w:t>Copy of registration certificate</w:t>
      </w:r>
    </w:p>
    <w:p w14:paraId="79AC5F1E" w14:textId="77777777" w:rsidR="001B005C" w:rsidRDefault="00360511" w:rsidP="001B005C">
      <w:pPr>
        <w:pStyle w:val="ListParagraph"/>
        <w:numPr>
          <w:ilvl w:val="1"/>
          <w:numId w:val="19"/>
        </w:numPr>
        <w:spacing w:line="276" w:lineRule="auto"/>
        <w:jc w:val="both"/>
      </w:pPr>
      <w:r w:rsidRPr="00360511">
        <w:t>Business license</w:t>
      </w:r>
    </w:p>
    <w:p w14:paraId="61A37AD2" w14:textId="6F610FE9" w:rsidR="00360511" w:rsidRPr="00360511" w:rsidRDefault="00360511" w:rsidP="001B005C">
      <w:pPr>
        <w:pStyle w:val="ListParagraph"/>
        <w:numPr>
          <w:ilvl w:val="1"/>
          <w:numId w:val="19"/>
        </w:numPr>
        <w:spacing w:line="276" w:lineRule="auto"/>
        <w:jc w:val="both"/>
      </w:pPr>
      <w:r w:rsidRPr="00360511">
        <w:t>TIN (Tax Identification Number) certificate</w:t>
      </w:r>
    </w:p>
    <w:p w14:paraId="57ABB044" w14:textId="77777777" w:rsidR="00360511" w:rsidRPr="00360511" w:rsidRDefault="00360511" w:rsidP="00360511">
      <w:pPr>
        <w:spacing w:line="276" w:lineRule="auto"/>
        <w:ind w:left="720"/>
        <w:jc w:val="both"/>
      </w:pPr>
      <w:r w:rsidRPr="00360511">
        <w:rPr>
          <w:b/>
          <w:bCs/>
        </w:rPr>
        <w:t>Budget Requirements</w:t>
      </w:r>
    </w:p>
    <w:p w14:paraId="2B9D46F1" w14:textId="77777777" w:rsidR="001553D6" w:rsidRDefault="00360511" w:rsidP="001553D6">
      <w:pPr>
        <w:pStyle w:val="ListParagraph"/>
        <w:numPr>
          <w:ilvl w:val="0"/>
          <w:numId w:val="20"/>
        </w:numPr>
        <w:spacing w:line="276" w:lineRule="auto"/>
        <w:jc w:val="both"/>
      </w:pPr>
      <w:r w:rsidRPr="00360511">
        <w:t>The financial proposal must include a clear and detailed cost breakdown for each line item.</w:t>
      </w:r>
    </w:p>
    <w:p w14:paraId="56B23ECC" w14:textId="77777777" w:rsidR="001553D6" w:rsidRDefault="00360511" w:rsidP="001553D6">
      <w:pPr>
        <w:pStyle w:val="ListParagraph"/>
        <w:numPr>
          <w:ilvl w:val="0"/>
          <w:numId w:val="20"/>
        </w:numPr>
        <w:spacing w:line="276" w:lineRule="auto"/>
        <w:jc w:val="both"/>
      </w:pPr>
      <w:r w:rsidRPr="00360511">
        <w:t>Lump-sum costs are not permitted.</w:t>
      </w:r>
    </w:p>
    <w:p w14:paraId="0E3EF92C" w14:textId="51FC4A11" w:rsidR="00360511" w:rsidRDefault="00360511" w:rsidP="001553D6">
      <w:pPr>
        <w:pStyle w:val="ListParagraph"/>
        <w:numPr>
          <w:ilvl w:val="0"/>
          <w:numId w:val="20"/>
        </w:numPr>
        <w:spacing w:before="240" w:after="0" w:line="276" w:lineRule="auto"/>
        <w:jc w:val="both"/>
      </w:pPr>
      <w:r w:rsidRPr="00360511">
        <w:t>No hidden costs will be accepted.</w:t>
      </w:r>
    </w:p>
    <w:p w14:paraId="0E68A2DE" w14:textId="77777777" w:rsidR="001553D6" w:rsidRDefault="001553D6" w:rsidP="001553D6">
      <w:pPr>
        <w:pStyle w:val="ListParagraph"/>
        <w:spacing w:before="240" w:after="0" w:line="276" w:lineRule="auto"/>
        <w:jc w:val="both"/>
      </w:pPr>
    </w:p>
    <w:p w14:paraId="008E09CA" w14:textId="644B801C" w:rsidR="00672B0D" w:rsidRPr="00850B4D" w:rsidRDefault="00672B0D" w:rsidP="001553D6">
      <w:pPr>
        <w:pStyle w:val="ListParagraph"/>
        <w:numPr>
          <w:ilvl w:val="0"/>
          <w:numId w:val="13"/>
        </w:numPr>
        <w:spacing w:before="240" w:after="0" w:line="276" w:lineRule="auto"/>
        <w:jc w:val="both"/>
      </w:pPr>
      <w:r w:rsidRPr="00850B4D">
        <w:t>A detailed CV of the consultant or CVs of key team members highlighting relevant qualifications and experience.</w:t>
      </w:r>
    </w:p>
    <w:p w14:paraId="641A4247" w14:textId="77777777" w:rsidR="00672B0D" w:rsidRDefault="00672B0D" w:rsidP="001553D6">
      <w:pPr>
        <w:numPr>
          <w:ilvl w:val="0"/>
          <w:numId w:val="13"/>
        </w:numPr>
        <w:spacing w:after="0" w:line="276" w:lineRule="auto"/>
        <w:jc w:val="both"/>
      </w:pPr>
      <w:r w:rsidRPr="00850B4D">
        <w:t>Samples of previous relevant work, including research reports, monitoring frameworks, assessments, databases, observatories, or related analytical outputs.</w:t>
      </w:r>
    </w:p>
    <w:p w14:paraId="391ED22B" w14:textId="77777777" w:rsidR="001553D6" w:rsidRPr="00850B4D" w:rsidRDefault="001553D6" w:rsidP="001553D6">
      <w:pPr>
        <w:spacing w:after="0" w:line="276" w:lineRule="auto"/>
        <w:jc w:val="both"/>
      </w:pPr>
    </w:p>
    <w:p w14:paraId="2B78FD9F" w14:textId="3B198976" w:rsidR="00672B0D" w:rsidRPr="00850B4D" w:rsidRDefault="00672B0D" w:rsidP="00672B0D">
      <w:pPr>
        <w:spacing w:line="276" w:lineRule="auto"/>
        <w:jc w:val="both"/>
      </w:pPr>
      <w:r w:rsidRPr="00850B4D">
        <w:t xml:space="preserve">Applications shall be submitted electronically to </w:t>
      </w:r>
      <w:hyperlink r:id="rId8" w:history="1">
        <w:r w:rsidRPr="008E2558">
          <w:rPr>
            <w:rStyle w:val="Hyperlink"/>
          </w:rPr>
          <w:t>hr@horn.center.org</w:t>
        </w:r>
      </w:hyperlink>
      <w:r>
        <w:t xml:space="preserve"> and copy to </w:t>
      </w:r>
      <w:hyperlink r:id="rId9" w:history="1">
        <w:r w:rsidRPr="008E2558">
          <w:rPr>
            <w:rStyle w:val="Hyperlink"/>
          </w:rPr>
          <w:t>hcdoffice@horn-center.org</w:t>
        </w:r>
      </w:hyperlink>
      <w:r>
        <w:t xml:space="preserve"> </w:t>
      </w:r>
      <w:r w:rsidRPr="00850B4D">
        <w:t>with the subject line:</w:t>
      </w:r>
      <w:r>
        <w:t xml:space="preserve"> </w:t>
      </w:r>
      <w:r w:rsidRPr="00850B4D">
        <w:t>“</w:t>
      </w:r>
      <w:r>
        <w:t>A</w:t>
      </w:r>
      <w:r w:rsidRPr="00850B4D">
        <w:t>pplication</w:t>
      </w:r>
      <w:r>
        <w:t>-</w:t>
      </w:r>
      <w:r w:rsidRPr="00850B4D">
        <w:t>Horn Civic Space and Pro-Democracy Actors Observatory Consultancy”</w:t>
      </w:r>
      <w:r>
        <w:t xml:space="preserve">. </w:t>
      </w:r>
      <w:r w:rsidRPr="00850B4D">
        <w:t xml:space="preserve">The deadline for submission </w:t>
      </w:r>
      <w:r>
        <w:t xml:space="preserve">is July </w:t>
      </w:r>
      <w:r w:rsidR="00035955">
        <w:t>24</w:t>
      </w:r>
      <w:r>
        <w:t xml:space="preserve">, 2026. </w:t>
      </w:r>
      <w:r w:rsidRPr="00850B4D">
        <w:t>Only shortlisted applicants will be contacted.</w:t>
      </w:r>
    </w:p>
    <w:p w14:paraId="5EA57095" w14:textId="77777777" w:rsidR="00DD3A76" w:rsidRDefault="00DD3A76"/>
    <w:sectPr w:rsidR="00DD3A7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6A2F1" w14:textId="77777777" w:rsidR="008251CF" w:rsidRDefault="008251CF" w:rsidP="00D83AAB">
      <w:pPr>
        <w:spacing w:after="0" w:line="240" w:lineRule="auto"/>
      </w:pPr>
      <w:r>
        <w:separator/>
      </w:r>
    </w:p>
  </w:endnote>
  <w:endnote w:type="continuationSeparator" w:id="0">
    <w:p w14:paraId="189FA51C" w14:textId="77777777" w:rsidR="008251CF" w:rsidRDefault="008251CF" w:rsidP="00D8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8134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73119F" w14:textId="5241315C" w:rsidR="00D83AAB" w:rsidRDefault="00D83A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C09C0B" w14:textId="77777777" w:rsidR="00D83AAB" w:rsidRDefault="00D83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1974" w14:textId="77777777" w:rsidR="008251CF" w:rsidRDefault="008251CF" w:rsidP="00D83AAB">
      <w:pPr>
        <w:spacing w:after="0" w:line="240" w:lineRule="auto"/>
      </w:pPr>
      <w:r>
        <w:separator/>
      </w:r>
    </w:p>
  </w:footnote>
  <w:footnote w:type="continuationSeparator" w:id="0">
    <w:p w14:paraId="73B72E0A" w14:textId="77777777" w:rsidR="008251CF" w:rsidRDefault="008251CF" w:rsidP="00D83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4EB"/>
    <w:multiLevelType w:val="hybridMultilevel"/>
    <w:tmpl w:val="7D2C7A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83797"/>
    <w:multiLevelType w:val="multilevel"/>
    <w:tmpl w:val="C870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62DF9"/>
    <w:multiLevelType w:val="multilevel"/>
    <w:tmpl w:val="B4A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7A0E72"/>
    <w:multiLevelType w:val="multilevel"/>
    <w:tmpl w:val="B9789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C72B26"/>
    <w:multiLevelType w:val="multilevel"/>
    <w:tmpl w:val="286C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4449AB"/>
    <w:multiLevelType w:val="multilevel"/>
    <w:tmpl w:val="482A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5105E8"/>
    <w:multiLevelType w:val="hybridMultilevel"/>
    <w:tmpl w:val="8DC2B7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13B6B"/>
    <w:multiLevelType w:val="multilevel"/>
    <w:tmpl w:val="688C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45135"/>
    <w:multiLevelType w:val="multilevel"/>
    <w:tmpl w:val="482A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2D2162"/>
    <w:multiLevelType w:val="multilevel"/>
    <w:tmpl w:val="86C0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2557DF"/>
    <w:multiLevelType w:val="multilevel"/>
    <w:tmpl w:val="A068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9354CB"/>
    <w:multiLevelType w:val="multilevel"/>
    <w:tmpl w:val="80B42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C9171A"/>
    <w:multiLevelType w:val="hybridMultilevel"/>
    <w:tmpl w:val="342CC6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8024B"/>
    <w:multiLevelType w:val="multilevel"/>
    <w:tmpl w:val="511C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E113B"/>
    <w:multiLevelType w:val="multilevel"/>
    <w:tmpl w:val="86C0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6A0AD3"/>
    <w:multiLevelType w:val="multilevel"/>
    <w:tmpl w:val="FDF2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AD3B9F"/>
    <w:multiLevelType w:val="hybridMultilevel"/>
    <w:tmpl w:val="1BE6CF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61031"/>
    <w:multiLevelType w:val="multilevel"/>
    <w:tmpl w:val="C228E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A23F09"/>
    <w:multiLevelType w:val="multilevel"/>
    <w:tmpl w:val="EEB88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7A740E"/>
    <w:multiLevelType w:val="multilevel"/>
    <w:tmpl w:val="35AE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2378836">
    <w:abstractNumId w:val="1"/>
  </w:num>
  <w:num w:numId="2" w16cid:durableId="935407444">
    <w:abstractNumId w:val="19"/>
  </w:num>
  <w:num w:numId="3" w16cid:durableId="23794069">
    <w:abstractNumId w:val="10"/>
  </w:num>
  <w:num w:numId="4" w16cid:durableId="716858224">
    <w:abstractNumId w:val="7"/>
  </w:num>
  <w:num w:numId="5" w16cid:durableId="401101986">
    <w:abstractNumId w:val="12"/>
  </w:num>
  <w:num w:numId="6" w16cid:durableId="1247378745">
    <w:abstractNumId w:val="6"/>
  </w:num>
  <w:num w:numId="7" w16cid:durableId="61802361">
    <w:abstractNumId w:val="3"/>
  </w:num>
  <w:num w:numId="8" w16cid:durableId="751900717">
    <w:abstractNumId w:val="0"/>
  </w:num>
  <w:num w:numId="9" w16cid:durableId="951863183">
    <w:abstractNumId w:val="18"/>
  </w:num>
  <w:num w:numId="10" w16cid:durableId="175733781">
    <w:abstractNumId w:val="13"/>
  </w:num>
  <w:num w:numId="11" w16cid:durableId="2119446136">
    <w:abstractNumId w:val="15"/>
  </w:num>
  <w:num w:numId="12" w16cid:durableId="397746362">
    <w:abstractNumId w:val="11"/>
  </w:num>
  <w:num w:numId="13" w16cid:durableId="1786927058">
    <w:abstractNumId w:val="2"/>
  </w:num>
  <w:num w:numId="14" w16cid:durableId="2130513296">
    <w:abstractNumId w:val="16"/>
  </w:num>
  <w:num w:numId="15" w16cid:durableId="209540602">
    <w:abstractNumId w:val="17"/>
  </w:num>
  <w:num w:numId="16" w16cid:durableId="939221324">
    <w:abstractNumId w:val="4"/>
  </w:num>
  <w:num w:numId="17" w16cid:durableId="1958831958">
    <w:abstractNumId w:val="5"/>
  </w:num>
  <w:num w:numId="18" w16cid:durableId="1887788440">
    <w:abstractNumId w:val="8"/>
  </w:num>
  <w:num w:numId="19" w16cid:durableId="1672752492">
    <w:abstractNumId w:val="9"/>
  </w:num>
  <w:num w:numId="20" w16cid:durableId="3249383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76"/>
    <w:rsid w:val="0001597F"/>
    <w:rsid w:val="00035955"/>
    <w:rsid w:val="000B0548"/>
    <w:rsid w:val="000B2508"/>
    <w:rsid w:val="001553D6"/>
    <w:rsid w:val="001B005C"/>
    <w:rsid w:val="00360511"/>
    <w:rsid w:val="003F5D78"/>
    <w:rsid w:val="00530153"/>
    <w:rsid w:val="005E039E"/>
    <w:rsid w:val="00672B0D"/>
    <w:rsid w:val="00691A1B"/>
    <w:rsid w:val="00693580"/>
    <w:rsid w:val="0069757C"/>
    <w:rsid w:val="006E30DD"/>
    <w:rsid w:val="006F3C8C"/>
    <w:rsid w:val="007C2977"/>
    <w:rsid w:val="007F443C"/>
    <w:rsid w:val="00814DEB"/>
    <w:rsid w:val="008251CF"/>
    <w:rsid w:val="008313DA"/>
    <w:rsid w:val="008515E9"/>
    <w:rsid w:val="00897CAB"/>
    <w:rsid w:val="009B01FA"/>
    <w:rsid w:val="00A2134D"/>
    <w:rsid w:val="00A8565F"/>
    <w:rsid w:val="00CE4F1B"/>
    <w:rsid w:val="00D83AAB"/>
    <w:rsid w:val="00DD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33E3"/>
  <w15:chartTrackingRefBased/>
  <w15:docId w15:val="{389357D1-9756-41DD-AD14-ABD91035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A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A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A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A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A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A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A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A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A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A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A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A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A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A7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3A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A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3A7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3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AAB"/>
  </w:style>
  <w:style w:type="paragraph" w:styleId="Footer">
    <w:name w:val="footer"/>
    <w:basedOn w:val="Normal"/>
    <w:link w:val="FooterChar"/>
    <w:uiPriority w:val="99"/>
    <w:unhideWhenUsed/>
    <w:rsid w:val="00D83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horn.cente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rn-center.org/wp-content/uploads/2024/04/Exploratory-Mapping-FINA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cdoffice@horn-cen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HCD</dc:creator>
  <cp:keywords/>
  <dc:description/>
  <cp:lastModifiedBy>HCD</cp:lastModifiedBy>
  <cp:revision>11</cp:revision>
  <dcterms:created xsi:type="dcterms:W3CDTF">2026-06-22T11:01:00Z</dcterms:created>
  <dcterms:modified xsi:type="dcterms:W3CDTF">2026-07-13T09:03:00Z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5f3d5eb6-6e6c-459d-860f-e6009ffbb50b</vt:lpwstr>
  </property>
</Properties>
</file>